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微软雅黑" w:eastAsia="宋体"/>
          <w:b/>
          <w:sz w:val="44"/>
          <w:szCs w:val="44"/>
        </w:rPr>
      </w:pPr>
      <w:r>
        <w:rPr>
          <w:rFonts w:hint="eastAsia" w:ascii="宋体" w:hAnsi="微软雅黑" w:eastAsia="宋体"/>
          <w:b/>
          <w:sz w:val="44"/>
          <w:szCs w:val="44"/>
        </w:rPr>
        <w:t>张家口银行理财业务202</w:t>
      </w:r>
      <w:r>
        <w:rPr>
          <w:rFonts w:hint="eastAsia" w:ascii="宋体" w:hAnsi="微软雅黑" w:eastAsia="宋体"/>
          <w:b/>
          <w:sz w:val="44"/>
          <w:szCs w:val="44"/>
          <w:lang w:val="en-US" w:eastAsia="zh-CN"/>
        </w:rPr>
        <w:t>4</w:t>
      </w:r>
      <w:r>
        <w:rPr>
          <w:rFonts w:hint="eastAsia" w:ascii="宋体" w:hAnsi="微软雅黑" w:eastAsia="宋体"/>
          <w:b/>
          <w:sz w:val="44"/>
          <w:szCs w:val="44"/>
        </w:rPr>
        <w:t>年上半年度</w:t>
      </w:r>
    </w:p>
    <w:p>
      <w:pPr>
        <w:spacing w:after="468" w:afterLines="150"/>
        <w:jc w:val="center"/>
        <w:rPr>
          <w:rFonts w:ascii="宋体" w:hAnsi="微软雅黑" w:eastAsia="宋体"/>
          <w:b/>
          <w:sz w:val="44"/>
          <w:szCs w:val="44"/>
        </w:rPr>
      </w:pPr>
      <w:r>
        <w:rPr>
          <w:rFonts w:hint="eastAsia" w:ascii="宋体" w:hAnsi="微软雅黑" w:eastAsia="宋体"/>
          <w:b/>
          <w:sz w:val="44"/>
          <w:szCs w:val="44"/>
        </w:rPr>
        <w:t>总体运行情况</w:t>
      </w:r>
      <w:bookmarkStart w:id="0" w:name="_GoBack"/>
      <w:bookmarkEnd w:id="0"/>
      <w:r>
        <w:rPr>
          <w:rFonts w:hint="eastAsia" w:ascii="宋体" w:hAnsi="微软雅黑" w:eastAsia="宋体"/>
          <w:b/>
          <w:sz w:val="44"/>
          <w:szCs w:val="44"/>
        </w:rPr>
        <w:t>公告</w:t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发布时间：</w:t>
      </w:r>
      <w:r>
        <w:rPr>
          <w:rFonts w:ascii="微软雅黑" w:hAnsi="微软雅黑" w:eastAsia="微软雅黑"/>
        </w:rPr>
        <w:t>202</w:t>
      </w: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ascii="微软雅黑" w:hAnsi="微软雅黑" w:eastAsia="微软雅黑"/>
        </w:rPr>
        <w:t>年07月</w:t>
      </w: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ascii="微软雅黑" w:hAnsi="微软雅黑" w:eastAsia="微软雅黑"/>
        </w:rPr>
        <w:t>日</w:t>
      </w:r>
    </w:p>
    <w:p>
      <w:pPr>
        <w:adjustRightInd w:val="0"/>
        <w:spacing w:line="500" w:lineRule="exact"/>
        <w:rPr>
          <w:rFonts w:ascii="微软雅黑" w:hAnsi="微软雅黑" w:eastAsia="仿宋"/>
          <w:sz w:val="32"/>
        </w:rPr>
      </w:pPr>
      <w:r>
        <w:rPr>
          <w:rFonts w:hint="eastAsia" w:ascii="微软雅黑" w:hAnsi="微软雅黑" w:eastAsia="仿宋"/>
          <w:sz w:val="32"/>
        </w:rPr>
        <w:t>尊敬的投资者：</w:t>
      </w:r>
    </w:p>
    <w:p>
      <w:pPr>
        <w:adjustRightInd w:val="0"/>
        <w:spacing w:line="500" w:lineRule="exact"/>
        <w:ind w:firstLine="640" w:firstLineChars="200"/>
        <w:rPr>
          <w:rFonts w:ascii="微软雅黑" w:hAnsi="微软雅黑" w:eastAsia="仿宋"/>
          <w:sz w:val="32"/>
        </w:rPr>
      </w:pPr>
      <w:r>
        <w:rPr>
          <w:rFonts w:hint="eastAsia" w:ascii="微软雅黑" w:hAnsi="微软雅黑" w:eastAsia="仿宋"/>
          <w:sz w:val="32"/>
        </w:rPr>
        <w:t>为充分履行信息披露义务，我行将</w:t>
      </w:r>
      <w:r>
        <w:rPr>
          <w:rFonts w:ascii="微软雅黑" w:hAnsi="微软雅黑" w:eastAsia="仿宋"/>
          <w:sz w:val="32"/>
        </w:rPr>
        <w:t>202</w:t>
      </w:r>
      <w:r>
        <w:rPr>
          <w:rFonts w:hint="eastAsia" w:ascii="微软雅黑" w:hAnsi="微软雅黑" w:eastAsia="仿宋"/>
          <w:sz w:val="32"/>
          <w:lang w:val="en-US" w:eastAsia="zh-CN"/>
        </w:rPr>
        <w:t>4</w:t>
      </w:r>
      <w:r>
        <w:rPr>
          <w:rFonts w:ascii="微软雅黑" w:hAnsi="微软雅黑" w:eastAsia="仿宋"/>
          <w:sz w:val="32"/>
        </w:rPr>
        <w:t>年1月份至202</w:t>
      </w:r>
      <w:r>
        <w:rPr>
          <w:rFonts w:hint="eastAsia" w:ascii="微软雅黑" w:hAnsi="微软雅黑" w:eastAsia="仿宋"/>
          <w:sz w:val="32"/>
          <w:lang w:val="en-US" w:eastAsia="zh-CN"/>
        </w:rPr>
        <w:t>4</w:t>
      </w:r>
      <w:r>
        <w:rPr>
          <w:rFonts w:ascii="微软雅黑" w:hAnsi="微软雅黑" w:eastAsia="仿宋"/>
          <w:sz w:val="32"/>
        </w:rPr>
        <w:t>年6月份理财业务基本情况进行披露。基本情况如下：</w:t>
      </w:r>
    </w:p>
    <w:p>
      <w:pPr>
        <w:adjustRightInd w:val="0"/>
        <w:spacing w:line="500" w:lineRule="exact"/>
        <w:ind w:firstLine="640" w:firstLineChars="200"/>
        <w:rPr>
          <w:rFonts w:ascii="微软雅黑" w:hAnsi="微软雅黑" w:eastAsia="仿宋"/>
          <w:sz w:val="32"/>
        </w:rPr>
      </w:pPr>
    </w:p>
    <w:tbl>
      <w:tblPr>
        <w:tblStyle w:val="3"/>
        <w:tblW w:w="8272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884"/>
        <w:gridCol w:w="903"/>
        <w:gridCol w:w="846"/>
        <w:gridCol w:w="757"/>
        <w:gridCol w:w="772"/>
        <w:gridCol w:w="822"/>
        <w:gridCol w:w="1131"/>
        <w:gridCol w:w="91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559" w:hRule="atLeast"/>
        </w:trPr>
        <w:tc>
          <w:tcPr>
            <w:tcW w:w="8272" w:type="dxa"/>
            <w:gridSpan w:val="9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张家口银行理财产品202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年1-6月基本情况（单位：亿元）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0" w:hRule="atLeast"/>
        </w:trPr>
        <w:tc>
          <w:tcPr>
            <w:tcW w:w="1245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产品类型</w:t>
            </w:r>
          </w:p>
        </w:tc>
        <w:tc>
          <w:tcPr>
            <w:tcW w:w="884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新发产品数量</w:t>
            </w:r>
          </w:p>
        </w:tc>
        <w:tc>
          <w:tcPr>
            <w:tcW w:w="903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新发/申购产品规模</w:t>
            </w:r>
          </w:p>
        </w:tc>
        <w:tc>
          <w:tcPr>
            <w:tcW w:w="846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到期产品数量</w:t>
            </w:r>
          </w:p>
        </w:tc>
        <w:tc>
          <w:tcPr>
            <w:tcW w:w="757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到期/赎回产品规模</w:t>
            </w:r>
          </w:p>
        </w:tc>
        <w:tc>
          <w:tcPr>
            <w:tcW w:w="772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存续产品数量</w:t>
            </w:r>
          </w:p>
        </w:tc>
        <w:tc>
          <w:tcPr>
            <w:tcW w:w="822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存续产品规模</w:t>
            </w:r>
          </w:p>
        </w:tc>
        <w:tc>
          <w:tcPr>
            <w:tcW w:w="1131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存续产品规模占比</w:t>
            </w:r>
          </w:p>
        </w:tc>
        <w:tc>
          <w:tcPr>
            <w:tcW w:w="912" w:type="dxa"/>
            <w:tcBorders>
              <w:top w:val="single" w:color="000000" w:sz="6" w:space="0"/>
              <w:bottom w:val="single" w:color="000000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余额较上期变化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245" w:type="dxa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固定收益类</w:t>
            </w:r>
          </w:p>
        </w:tc>
        <w:tc>
          <w:tcPr>
            <w:tcW w:w="884" w:type="dxa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03" w:type="dxa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default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0.94</w:t>
            </w:r>
          </w:p>
        </w:tc>
        <w:tc>
          <w:tcPr>
            <w:tcW w:w="846" w:type="dxa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0</w:t>
            </w:r>
          </w:p>
        </w:tc>
        <w:tc>
          <w:tcPr>
            <w:tcW w:w="757" w:type="dxa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default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56.77</w:t>
            </w:r>
          </w:p>
        </w:tc>
        <w:tc>
          <w:tcPr>
            <w:tcW w:w="772" w:type="dxa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822" w:type="dxa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default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44.32</w:t>
            </w:r>
          </w:p>
        </w:tc>
        <w:tc>
          <w:tcPr>
            <w:tcW w:w="1131" w:type="dxa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100%</w:t>
            </w:r>
          </w:p>
        </w:tc>
        <w:tc>
          <w:tcPr>
            <w:tcW w:w="912" w:type="dxa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4.17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45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权益类</w:t>
            </w:r>
          </w:p>
        </w:tc>
        <w:tc>
          <w:tcPr>
            <w:tcW w:w="884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903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46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57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72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22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1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12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1245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商品及金融衍生品类</w:t>
            </w:r>
          </w:p>
        </w:tc>
        <w:tc>
          <w:tcPr>
            <w:tcW w:w="884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903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46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57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72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22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131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12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45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混合类</w:t>
            </w:r>
          </w:p>
        </w:tc>
        <w:tc>
          <w:tcPr>
            <w:tcW w:w="884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903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46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57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72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22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131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12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45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合计：</w:t>
            </w:r>
          </w:p>
        </w:tc>
        <w:tc>
          <w:tcPr>
            <w:tcW w:w="884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03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0.94</w:t>
            </w:r>
          </w:p>
        </w:tc>
        <w:tc>
          <w:tcPr>
            <w:tcW w:w="846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0</w:t>
            </w:r>
          </w:p>
        </w:tc>
        <w:tc>
          <w:tcPr>
            <w:tcW w:w="757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56.77</w:t>
            </w:r>
          </w:p>
        </w:tc>
        <w:tc>
          <w:tcPr>
            <w:tcW w:w="772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822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44.32</w:t>
            </w:r>
          </w:p>
        </w:tc>
        <w:tc>
          <w:tcPr>
            <w:tcW w:w="1131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100%</w:t>
            </w:r>
          </w:p>
        </w:tc>
        <w:tc>
          <w:tcPr>
            <w:tcW w:w="912" w:type="dxa"/>
            <w:tcBorders>
              <w:top w:val="single" w:color="000000" w:sz="6" w:space="0"/>
              <w:bottom w:val="single" w:color="000000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4.17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245" w:type="dxa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公募产品</w:t>
            </w:r>
          </w:p>
        </w:tc>
        <w:tc>
          <w:tcPr>
            <w:tcW w:w="884" w:type="dxa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03" w:type="dxa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0.94</w:t>
            </w:r>
          </w:p>
        </w:tc>
        <w:tc>
          <w:tcPr>
            <w:tcW w:w="846" w:type="dxa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0</w:t>
            </w:r>
          </w:p>
        </w:tc>
        <w:tc>
          <w:tcPr>
            <w:tcW w:w="757" w:type="dxa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56.77</w:t>
            </w:r>
          </w:p>
        </w:tc>
        <w:tc>
          <w:tcPr>
            <w:tcW w:w="772" w:type="dxa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822" w:type="dxa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44.32</w:t>
            </w:r>
          </w:p>
        </w:tc>
        <w:tc>
          <w:tcPr>
            <w:tcW w:w="1131" w:type="dxa"/>
            <w:tcBorders>
              <w:top w:val="single" w:color="000000" w:sz="12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100%</w:t>
            </w:r>
          </w:p>
        </w:tc>
        <w:tc>
          <w:tcPr>
            <w:tcW w:w="912" w:type="dxa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4.17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45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私募产品</w:t>
            </w:r>
          </w:p>
        </w:tc>
        <w:tc>
          <w:tcPr>
            <w:tcW w:w="884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03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846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7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822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1" w:type="dxa"/>
            <w:tcBorders>
              <w:top w:val="single" w:color="000000" w:sz="6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12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45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合计：</w:t>
            </w:r>
          </w:p>
        </w:tc>
        <w:tc>
          <w:tcPr>
            <w:tcW w:w="884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03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0.94</w:t>
            </w:r>
          </w:p>
        </w:tc>
        <w:tc>
          <w:tcPr>
            <w:tcW w:w="846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0</w:t>
            </w:r>
          </w:p>
        </w:tc>
        <w:tc>
          <w:tcPr>
            <w:tcW w:w="757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56.77</w:t>
            </w:r>
          </w:p>
        </w:tc>
        <w:tc>
          <w:tcPr>
            <w:tcW w:w="772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822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44.32</w:t>
            </w:r>
          </w:p>
        </w:tc>
        <w:tc>
          <w:tcPr>
            <w:tcW w:w="1131" w:type="dxa"/>
            <w:tcBorders>
              <w:top w:val="single" w:color="000000" w:sz="6" w:space="0"/>
              <w:bottom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100%</w:t>
            </w:r>
          </w:p>
        </w:tc>
        <w:tc>
          <w:tcPr>
            <w:tcW w:w="912" w:type="dxa"/>
            <w:tcBorders>
              <w:top w:val="single" w:color="000000" w:sz="6" w:space="0"/>
              <w:bottom w:val="single" w:color="000000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4.17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245" w:type="dxa"/>
            <w:tcBorders>
              <w:top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开放式产品</w:t>
            </w:r>
          </w:p>
        </w:tc>
        <w:tc>
          <w:tcPr>
            <w:tcW w:w="884" w:type="dxa"/>
            <w:tcBorders>
              <w:top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03" w:type="dxa"/>
            <w:tcBorders>
              <w:top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0.94</w:t>
            </w:r>
          </w:p>
        </w:tc>
        <w:tc>
          <w:tcPr>
            <w:tcW w:w="846" w:type="dxa"/>
            <w:tcBorders>
              <w:top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0</w:t>
            </w:r>
          </w:p>
        </w:tc>
        <w:tc>
          <w:tcPr>
            <w:tcW w:w="757" w:type="dxa"/>
            <w:tcBorders>
              <w:top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56.77</w:t>
            </w:r>
          </w:p>
        </w:tc>
        <w:tc>
          <w:tcPr>
            <w:tcW w:w="772" w:type="dxa"/>
            <w:tcBorders>
              <w:top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822" w:type="dxa"/>
            <w:tcBorders>
              <w:top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44.32</w:t>
            </w:r>
          </w:p>
        </w:tc>
        <w:tc>
          <w:tcPr>
            <w:tcW w:w="1131" w:type="dxa"/>
            <w:tcBorders>
              <w:top w:val="single" w:color="000000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100%</w:t>
            </w:r>
          </w:p>
        </w:tc>
        <w:tc>
          <w:tcPr>
            <w:tcW w:w="912" w:type="dxa"/>
            <w:tcBorders>
              <w:top w:val="single" w:color="000000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4.17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封闭式产品</w:t>
            </w:r>
          </w:p>
        </w:tc>
        <w:tc>
          <w:tcPr>
            <w:tcW w:w="8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0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84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8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1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2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合计：</w:t>
            </w:r>
          </w:p>
        </w:tc>
        <w:tc>
          <w:tcPr>
            <w:tcW w:w="8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0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0.94</w:t>
            </w:r>
          </w:p>
        </w:tc>
        <w:tc>
          <w:tcPr>
            <w:tcW w:w="84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0</w:t>
            </w:r>
          </w:p>
        </w:tc>
        <w:tc>
          <w:tcPr>
            <w:tcW w:w="75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56.77</w:t>
            </w:r>
          </w:p>
        </w:tc>
        <w:tc>
          <w:tcPr>
            <w:tcW w:w="77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8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44.32</w:t>
            </w:r>
          </w:p>
        </w:tc>
        <w:tc>
          <w:tcPr>
            <w:tcW w:w="113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100%</w:t>
            </w:r>
          </w:p>
        </w:tc>
        <w:tc>
          <w:tcPr>
            <w:tcW w:w="91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4.17</w:t>
            </w:r>
          </w:p>
        </w:tc>
      </w:tr>
    </w:tbl>
    <w:p>
      <w:pPr>
        <w:adjustRightInd w:val="0"/>
        <w:rPr>
          <w:rFonts w:ascii="微软雅黑" w:hAnsi="微软雅黑" w:eastAsia="仿宋"/>
          <w:sz w:val="32"/>
        </w:rPr>
      </w:pPr>
    </w:p>
    <w:tbl>
      <w:tblPr>
        <w:tblStyle w:val="3"/>
        <w:tblW w:w="8183" w:type="dxa"/>
        <w:tblInd w:w="7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27"/>
        <w:gridCol w:w="2727"/>
        <w:gridCol w:w="272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818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Cs w:val="21"/>
              </w:rPr>
              <w:t>张家口银行理财业务202</w:t>
            </w: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Cs w:val="21"/>
              </w:rPr>
              <w:t>年6月末底层资产基本情况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27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Cs w:val="21"/>
              </w:rPr>
              <w:t>资产类型</w:t>
            </w:r>
          </w:p>
        </w:tc>
        <w:tc>
          <w:tcPr>
            <w:tcW w:w="27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Cs w:val="21"/>
              </w:rPr>
              <w:t>规模（亿元）</w:t>
            </w:r>
          </w:p>
        </w:tc>
        <w:tc>
          <w:tcPr>
            <w:tcW w:w="27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Cs w:val="21"/>
              </w:rPr>
              <w:t>占比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27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Cs w:val="21"/>
              </w:rPr>
              <w:t>1、货币类</w:t>
            </w:r>
          </w:p>
        </w:tc>
        <w:tc>
          <w:tcPr>
            <w:tcW w:w="27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Times New Roman"/>
                <w:color w:val="0000FF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27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Times New Roman"/>
                <w:color w:val="0000FF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2.11%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27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default" w:ascii="微软雅黑" w:hAnsi="微软雅黑" w:eastAsia="微软雅黑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Cs w:val="21"/>
                <w:lang w:val="en-US" w:eastAsia="zh-CN"/>
              </w:rPr>
              <w:t>2、买入返售</w:t>
            </w:r>
          </w:p>
        </w:tc>
        <w:tc>
          <w:tcPr>
            <w:tcW w:w="27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/>
                <w:color w:val="0000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3.36 </w:t>
            </w:r>
          </w:p>
        </w:tc>
        <w:tc>
          <w:tcPr>
            <w:tcW w:w="27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/>
                <w:color w:val="0000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7.08%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27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Cs w:val="21"/>
              </w:rPr>
              <w:t>、债券类</w:t>
            </w:r>
          </w:p>
        </w:tc>
        <w:tc>
          <w:tcPr>
            <w:tcW w:w="27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Times New Roman"/>
                <w:color w:val="0000FF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42.77 </w:t>
            </w:r>
          </w:p>
        </w:tc>
        <w:tc>
          <w:tcPr>
            <w:tcW w:w="27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Times New Roman"/>
                <w:color w:val="0000FF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90.18%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27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Cs w:val="21"/>
              </w:rPr>
              <w:t>、基金类</w:t>
            </w:r>
          </w:p>
        </w:tc>
        <w:tc>
          <w:tcPr>
            <w:tcW w:w="27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Times New Roman"/>
                <w:color w:val="0000FF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0.30 </w:t>
            </w:r>
          </w:p>
        </w:tc>
        <w:tc>
          <w:tcPr>
            <w:tcW w:w="27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Times New Roman"/>
                <w:color w:val="0000FF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0.63%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7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7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Times New Roman"/>
                <w:color w:val="0000FF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47.43 </w:t>
            </w:r>
          </w:p>
        </w:tc>
        <w:tc>
          <w:tcPr>
            <w:tcW w:w="27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Times New Roman"/>
                <w:color w:val="0000FF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</w:tbl>
    <w:p>
      <w:pPr>
        <w:adjustRightInd w:val="0"/>
        <w:rPr>
          <w:rFonts w:ascii="微软雅黑" w:hAnsi="微软雅黑" w:eastAsia="仿宋"/>
          <w:sz w:val="32"/>
        </w:rPr>
      </w:pPr>
    </w:p>
    <w:p>
      <w:pPr>
        <w:adjustRightInd w:val="0"/>
        <w:spacing w:line="500" w:lineRule="exact"/>
        <w:ind w:firstLine="640" w:firstLineChars="200"/>
        <w:rPr>
          <w:rFonts w:ascii="微软雅黑" w:hAnsi="微软雅黑" w:eastAsia="仿宋"/>
          <w:sz w:val="32"/>
        </w:rPr>
      </w:pPr>
      <w:r>
        <w:rPr>
          <w:rFonts w:hint="eastAsia" w:ascii="微软雅黑" w:hAnsi="微软雅黑" w:eastAsia="仿宋"/>
          <w:sz w:val="32"/>
        </w:rPr>
        <w:t>我行作为理财资金受托人，将会继续恪尽职守、勤勉尽责、谨慎管理、忠实履行有关法律、行政法规和理财协议的规定。</w:t>
      </w:r>
    </w:p>
    <w:p>
      <w:pPr>
        <w:adjustRightInd w:val="0"/>
        <w:spacing w:line="500" w:lineRule="exact"/>
        <w:ind w:firstLine="640" w:firstLineChars="200"/>
        <w:rPr>
          <w:rFonts w:ascii="微软雅黑" w:hAnsi="微软雅黑" w:eastAsia="仿宋"/>
          <w:sz w:val="32"/>
        </w:rPr>
      </w:pPr>
      <w:r>
        <w:rPr>
          <w:rFonts w:hint="eastAsia" w:ascii="微软雅黑" w:hAnsi="微软雅黑" w:eastAsia="仿宋"/>
          <w:sz w:val="32"/>
        </w:rPr>
        <w:t>感谢您一直以来对张家口银行的支持！敬请继续关注张家口银行正在热销的其他理财产品。</w:t>
      </w:r>
    </w:p>
    <w:p>
      <w:pPr>
        <w:adjustRightInd w:val="0"/>
        <w:spacing w:line="500" w:lineRule="exact"/>
        <w:rPr>
          <w:rFonts w:ascii="微软雅黑" w:hAnsi="微软雅黑" w:eastAsia="仿宋"/>
          <w:sz w:val="32"/>
        </w:rPr>
      </w:pPr>
    </w:p>
    <w:p>
      <w:pPr>
        <w:adjustRightInd w:val="0"/>
        <w:spacing w:line="500" w:lineRule="exact"/>
        <w:jc w:val="both"/>
        <w:rPr>
          <w:rFonts w:ascii="微软雅黑" w:hAnsi="微软雅黑" w:eastAsia="仿宋"/>
          <w:sz w:val="32"/>
        </w:rPr>
      </w:pPr>
    </w:p>
    <w:p>
      <w:pPr>
        <w:adjustRightInd w:val="0"/>
        <w:jc w:val="right"/>
        <w:rPr>
          <w:rFonts w:ascii="微软雅黑" w:hAnsi="微软雅黑" w:eastAsia="仿宋"/>
          <w:sz w:val="32"/>
        </w:rPr>
      </w:pPr>
      <w:r>
        <w:rPr>
          <w:rFonts w:hint="eastAsia" w:ascii="微软雅黑" w:hAnsi="微软雅黑" w:eastAsia="仿宋"/>
          <w:sz w:val="32"/>
        </w:rPr>
        <w:t>张家口银行股份有限公司</w:t>
      </w:r>
    </w:p>
    <w:p>
      <w:pPr>
        <w:adjustRightInd w:val="0"/>
        <w:jc w:val="right"/>
        <w:rPr>
          <w:rFonts w:ascii="微软雅黑" w:hAnsi="微软雅黑" w:eastAsia="仿宋"/>
          <w:sz w:val="32"/>
        </w:rPr>
      </w:pPr>
      <w:r>
        <w:rPr>
          <w:rFonts w:ascii="微软雅黑" w:hAnsi="微软雅黑" w:eastAsia="仿宋"/>
          <w:sz w:val="32"/>
        </w:rPr>
        <w:t>202</w:t>
      </w:r>
      <w:r>
        <w:rPr>
          <w:rFonts w:hint="eastAsia" w:ascii="微软雅黑" w:hAnsi="微软雅黑" w:eastAsia="仿宋"/>
          <w:sz w:val="32"/>
          <w:lang w:val="en-US" w:eastAsia="zh-CN"/>
        </w:rPr>
        <w:t>4</w:t>
      </w:r>
      <w:r>
        <w:rPr>
          <w:rFonts w:ascii="微软雅黑" w:hAnsi="微软雅黑" w:eastAsia="仿宋"/>
          <w:sz w:val="32"/>
        </w:rPr>
        <w:t>年7月</w:t>
      </w:r>
      <w:r>
        <w:rPr>
          <w:rFonts w:hint="eastAsia" w:ascii="微软雅黑" w:hAnsi="微软雅黑" w:eastAsia="仿宋"/>
          <w:sz w:val="32"/>
          <w:lang w:val="en-US" w:eastAsia="zh-CN"/>
        </w:rPr>
        <w:t>1</w:t>
      </w:r>
      <w:r>
        <w:rPr>
          <w:rFonts w:ascii="微软雅黑" w:hAnsi="微软雅黑" w:eastAsia="仿宋"/>
          <w:sz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ZDZmZjZmYzI2MWYwOTRiNGQ2ZGRlYzQ3YTQwZDUifQ=="/>
  </w:docVars>
  <w:rsids>
    <w:rsidRoot w:val="0A6D279C"/>
    <w:rsid w:val="001866A6"/>
    <w:rsid w:val="00297A04"/>
    <w:rsid w:val="0061084C"/>
    <w:rsid w:val="006D495E"/>
    <w:rsid w:val="008A2FC8"/>
    <w:rsid w:val="009D0EDD"/>
    <w:rsid w:val="00A17482"/>
    <w:rsid w:val="00B15F2D"/>
    <w:rsid w:val="00C122E1"/>
    <w:rsid w:val="00D00193"/>
    <w:rsid w:val="00FD0F90"/>
    <w:rsid w:val="09C37BCC"/>
    <w:rsid w:val="0A6D279C"/>
    <w:rsid w:val="0AC615C6"/>
    <w:rsid w:val="1229250D"/>
    <w:rsid w:val="170D4E5D"/>
    <w:rsid w:val="1740285C"/>
    <w:rsid w:val="19E0204A"/>
    <w:rsid w:val="1D303373"/>
    <w:rsid w:val="22323BFC"/>
    <w:rsid w:val="226C7601"/>
    <w:rsid w:val="281F201A"/>
    <w:rsid w:val="2B607D2C"/>
    <w:rsid w:val="2B875873"/>
    <w:rsid w:val="2E3D31FA"/>
    <w:rsid w:val="2E426A62"/>
    <w:rsid w:val="319C3C90"/>
    <w:rsid w:val="37CF332C"/>
    <w:rsid w:val="3C1D466B"/>
    <w:rsid w:val="3F593C0C"/>
    <w:rsid w:val="427F097F"/>
    <w:rsid w:val="44632243"/>
    <w:rsid w:val="46BF30DB"/>
    <w:rsid w:val="4BA206E8"/>
    <w:rsid w:val="4EB6094E"/>
    <w:rsid w:val="4F1B22DD"/>
    <w:rsid w:val="50BB4EA3"/>
    <w:rsid w:val="51C970F2"/>
    <w:rsid w:val="53FC269A"/>
    <w:rsid w:val="57671164"/>
    <w:rsid w:val="5B3475AF"/>
    <w:rsid w:val="637310AD"/>
    <w:rsid w:val="64FF10F2"/>
    <w:rsid w:val="69325C6C"/>
    <w:rsid w:val="757152A2"/>
    <w:rsid w:val="78E40D03"/>
    <w:rsid w:val="7A914A57"/>
    <w:rsid w:val="7B762E74"/>
    <w:rsid w:val="7CC42D20"/>
    <w:rsid w:val="7E520CE5"/>
    <w:rsid w:val="7EA96B5C"/>
    <w:rsid w:val="7F9F2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</w:style>
  <w:style w:type="character" w:styleId="5">
    <w:name w:val="annotation reference"/>
    <w:basedOn w:val="4"/>
    <w:semiHidden/>
    <w:unhideWhenUsed/>
    <w:qFormat/>
    <w:uiPriority w:val="99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487</Words>
  <Characters>671</Characters>
  <Lines>5</Lines>
  <Paragraphs>1</Paragraphs>
  <TotalTime>1</TotalTime>
  <ScaleCrop>false</ScaleCrop>
  <LinksUpToDate>false</LinksUpToDate>
  <CharactersWithSpaces>676</CharactersWithSpaces>
  <Application>WPS Office_11.8.2.12251_F1E327BC-269C-435d-A152-05C5408002CA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2022-07-15T02:28:00Z</dcterms:created>
  <dc:creator>驿</dc:creator>
  <cp:lastModifiedBy>洋</cp:lastModifiedBy>
  <dcterms:modified xsi:type="dcterms:W3CDTF">2024-07-04T07:40:03Z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2052-11.8.2.12251</vt:lpwstr>
  </property>
  <property fmtid="{D5CDD505-2E9C-101B-9397-08002B2CF9AE}" pid="3" name="ICV">
    <vt:lpwstr>14F8BADD1AA040EC8FB0745FD38032FF</vt:lpwstr>
  </property>
</Properties>
</file>